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EB" w:rsidRPr="00A717B2" w:rsidRDefault="005F56EB" w:rsidP="005D65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17B2">
        <w:rPr>
          <w:rFonts w:ascii="Times New Roman" w:hAnsi="Times New Roman"/>
          <w:b/>
          <w:sz w:val="28"/>
          <w:szCs w:val="28"/>
        </w:rPr>
        <w:t>РАЗВИВАЮЩИЕ ИГРЫ С БЛОКАМИ ДЬЕНЕША ДЛЯ ДЕТЕЙ С ПАТОЛОГИЕЙ ЗРЕНИЯ</w:t>
      </w:r>
    </w:p>
    <w:p w:rsidR="005F56EB" w:rsidRPr="00A717B2" w:rsidRDefault="005F56EB" w:rsidP="005D655F">
      <w:pPr>
        <w:jc w:val="center"/>
        <w:rPr>
          <w:rFonts w:ascii="Times New Roman" w:hAnsi="Times New Roman"/>
          <w:sz w:val="28"/>
          <w:szCs w:val="28"/>
        </w:rPr>
      </w:pPr>
      <w:r w:rsidRPr="00A717B2">
        <w:rPr>
          <w:rFonts w:ascii="Times New Roman" w:hAnsi="Times New Roman"/>
          <w:sz w:val="28"/>
          <w:szCs w:val="28"/>
        </w:rPr>
        <w:t>Для детей от двух до семи лет</w:t>
      </w:r>
    </w:p>
    <w:p w:rsidR="005F56EB" w:rsidRPr="00A717B2" w:rsidRDefault="005F56EB" w:rsidP="005D655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717B2">
        <w:rPr>
          <w:rFonts w:ascii="Times New Roman" w:hAnsi="Times New Roman"/>
          <w:sz w:val="28"/>
          <w:szCs w:val="28"/>
        </w:rPr>
        <w:t>овременные требования к развивающему обучению в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17B2">
        <w:rPr>
          <w:rFonts w:ascii="Times New Roman" w:hAnsi="Times New Roman"/>
          <w:sz w:val="28"/>
          <w:szCs w:val="28"/>
        </w:rPr>
        <w:t>дошкольного детства диктуют необходимость создания новых форм игровой деятельности, при которой сохранялись бы и синтезировались элементы познавательного, учебного и игрового общения.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sz w:val="28"/>
          <w:szCs w:val="28"/>
        </w:rPr>
        <w:t>На наш взгляд, геометрические блок</w:t>
      </w:r>
      <w:r>
        <w:rPr>
          <w:rFonts w:ascii="Times New Roman" w:hAnsi="Times New Roman" w:cs="Times New Roman"/>
          <w:sz w:val="28"/>
          <w:szCs w:val="28"/>
        </w:rPr>
        <w:t>и Дьенеша — это тот познаватель</w:t>
      </w:r>
      <w:r w:rsidRPr="00A717B2">
        <w:rPr>
          <w:rFonts w:ascii="Times New Roman" w:hAnsi="Times New Roman" w:cs="Times New Roman"/>
          <w:sz w:val="28"/>
          <w:szCs w:val="28"/>
        </w:rPr>
        <w:t>ный материал, который в полной мере отвечает этим требованиям. Блоки Дьенеша помогают ребенку овладеть</w:t>
      </w:r>
      <w:r>
        <w:rPr>
          <w:rFonts w:ascii="Times New Roman" w:hAnsi="Times New Roman" w:cs="Times New Roman"/>
          <w:sz w:val="28"/>
          <w:szCs w:val="28"/>
        </w:rPr>
        <w:t xml:space="preserve"> мыслительными операциями и дей</w:t>
      </w:r>
      <w:r w:rsidRPr="00A717B2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>иями, важными как в плане пред</w:t>
      </w:r>
      <w:r w:rsidRPr="00A717B2">
        <w:rPr>
          <w:rFonts w:ascii="Times New Roman" w:hAnsi="Times New Roman" w:cs="Times New Roman"/>
          <w:sz w:val="28"/>
          <w:szCs w:val="28"/>
        </w:rPr>
        <w:t>математ</w:t>
      </w:r>
      <w:r>
        <w:rPr>
          <w:rFonts w:ascii="Times New Roman" w:hAnsi="Times New Roman" w:cs="Times New Roman"/>
          <w:sz w:val="28"/>
          <w:szCs w:val="28"/>
        </w:rPr>
        <w:t>ической подготовки, так и с точ</w:t>
      </w:r>
      <w:r w:rsidRPr="00A717B2">
        <w:rPr>
          <w:rFonts w:ascii="Times New Roman" w:hAnsi="Times New Roman" w:cs="Times New Roman"/>
          <w:sz w:val="28"/>
          <w:szCs w:val="28"/>
        </w:rPr>
        <w:t>ки зрения общего интеллектуального разв</w:t>
      </w:r>
      <w:r>
        <w:rPr>
          <w:rFonts w:ascii="Times New Roman" w:hAnsi="Times New Roman" w:cs="Times New Roman"/>
          <w:sz w:val="28"/>
          <w:szCs w:val="28"/>
        </w:rPr>
        <w:t>ития. К таким действиям относят</w:t>
      </w:r>
      <w:r w:rsidRPr="00A717B2">
        <w:rPr>
          <w:rFonts w:ascii="Times New Roman" w:hAnsi="Times New Roman" w:cs="Times New Roman"/>
          <w:sz w:val="28"/>
          <w:szCs w:val="28"/>
        </w:rPr>
        <w:t>ся: в</w:t>
      </w:r>
      <w:r>
        <w:rPr>
          <w:rFonts w:ascii="Times New Roman" w:hAnsi="Times New Roman" w:cs="Times New Roman"/>
          <w:sz w:val="28"/>
          <w:szCs w:val="28"/>
        </w:rPr>
        <w:t>ыявление свойств, их абстрагиро</w:t>
      </w:r>
      <w:r w:rsidRPr="00A717B2">
        <w:rPr>
          <w:rFonts w:ascii="Times New Roman" w:hAnsi="Times New Roman" w:cs="Times New Roman"/>
          <w:sz w:val="28"/>
          <w:szCs w:val="28"/>
        </w:rPr>
        <w:t>вани</w:t>
      </w:r>
      <w:r>
        <w:rPr>
          <w:rFonts w:ascii="Times New Roman" w:hAnsi="Times New Roman" w:cs="Times New Roman"/>
          <w:sz w:val="28"/>
          <w:szCs w:val="28"/>
        </w:rPr>
        <w:t>е, сравнение, обобщение, группи</w:t>
      </w:r>
      <w:r w:rsidRPr="00A717B2">
        <w:rPr>
          <w:rFonts w:ascii="Times New Roman" w:hAnsi="Times New Roman" w:cs="Times New Roman"/>
          <w:sz w:val="28"/>
          <w:szCs w:val="28"/>
        </w:rPr>
        <w:t>ровка, кодирование свойств, логиче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ские операции с использованием отрицания «не».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20" w:right="20" w:firstLine="406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В упражнениях с блоками дети с нар</w:t>
      </w:r>
      <w:r>
        <w:rPr>
          <w:rFonts w:ascii="Times New Roman" w:hAnsi="Times New Roman" w:cs="Times New Roman"/>
          <w:color w:val="000000"/>
          <w:sz w:val="28"/>
          <w:szCs w:val="28"/>
        </w:rPr>
        <w:t>ушением зрения развивают цвето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hAnsi="Times New Roman" w:cs="Times New Roman"/>
          <w:color w:val="000000"/>
          <w:sz w:val="28"/>
          <w:szCs w:val="28"/>
        </w:rPr>
        <w:t>приятие и остроту зрения, форми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руют представление о сенсорных эта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softHyphen/>
        <w:t>лона</w:t>
      </w:r>
      <w:r>
        <w:rPr>
          <w:rFonts w:ascii="Times New Roman" w:hAnsi="Times New Roman" w:cs="Times New Roman"/>
          <w:color w:val="000000"/>
          <w:sz w:val="28"/>
          <w:szCs w:val="28"/>
        </w:rPr>
        <w:t>х, совершенствуют пространствен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ную ориентировку.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20" w:right="20" w:firstLine="406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Развитие мышления ребенка происходит в интересной для него ситуации — при решении задач игрового характера, в подвижной деятельности, что помогает чередовать умственную и зрительную нагрузку с двигательной.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20" w:right="20" w:firstLine="406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Описание некоторых игр с блоками встречается в методической литературе, но в данной работе представлена система постепенно усложняющихся игр и упражнений для детей от 2 до 7 лет; дано описание пособий, которые педагог использует в работе.</w:t>
      </w:r>
    </w:p>
    <w:p w:rsidR="005F56EB" w:rsidRPr="00A717B2" w:rsidRDefault="005F56EB" w:rsidP="005D655F">
      <w:pPr>
        <w:pStyle w:val="2"/>
        <w:shd w:val="clear" w:color="auto" w:fill="auto"/>
        <w:spacing w:after="120" w:line="276" w:lineRule="auto"/>
        <w:ind w:left="20" w:right="20" w:firstLine="406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Упражнения не адресуются конкретному возрасту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так как уровень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етей в одной группе не может быть совершенно одинаков. Подбор игр и упражнений дает возможность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>вать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зан</w:t>
      </w:r>
      <w:r>
        <w:rPr>
          <w:rFonts w:ascii="Times New Roman" w:hAnsi="Times New Roman" w:cs="Times New Roman"/>
          <w:color w:val="000000"/>
          <w:sz w:val="28"/>
          <w:szCs w:val="28"/>
        </w:rPr>
        <w:t>ятия с учетом психологического в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озраста ребенка. Даже в одной игре за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softHyphen/>
        <w:t>дания мо</w:t>
      </w:r>
      <w:r>
        <w:rPr>
          <w:rFonts w:ascii="Times New Roman" w:hAnsi="Times New Roman" w:cs="Times New Roman"/>
          <w:color w:val="000000"/>
          <w:sz w:val="28"/>
          <w:szCs w:val="28"/>
        </w:rPr>
        <w:t>жно варьировать: кто-то из дет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ей оперирует только одним свойством, другой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уже осилит упражнение, где нуж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но ориентироваться на 2—3 свойства одновременно.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Упражнения, предпола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гаю</w:t>
      </w:r>
      <w:r>
        <w:rPr>
          <w:rFonts w:ascii="Times New Roman" w:hAnsi="Times New Roman" w:cs="Times New Roman"/>
          <w:color w:val="000000"/>
          <w:sz w:val="28"/>
          <w:szCs w:val="28"/>
        </w:rPr>
        <w:t>щие умозаключения, конечно, сле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дует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 с детьми старшего до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школьного возраста.</w:t>
      </w:r>
    </w:p>
    <w:p w:rsidR="005F56EB" w:rsidRPr="00A717B2" w:rsidRDefault="005F56EB" w:rsidP="005D655F">
      <w:pPr>
        <w:pStyle w:val="130"/>
        <w:shd w:val="clear" w:color="auto" w:fill="auto"/>
        <w:spacing w:before="0" w:line="276" w:lineRule="auto"/>
        <w:ind w:left="4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ЗАНЯТИЕ 1. Знакомство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с геометрическими блоками.</w:t>
      </w:r>
    </w:p>
    <w:p w:rsidR="005F56EB" w:rsidRPr="00A717B2" w:rsidRDefault="005F56EB" w:rsidP="005D655F">
      <w:pPr>
        <w:pStyle w:val="130"/>
        <w:shd w:val="clear" w:color="auto" w:fill="auto"/>
        <w:spacing w:before="0" w:line="276" w:lineRule="auto"/>
        <w:ind w:left="4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Группировка по цвету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Цель.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Фиксировать внимание детей на цветовых свойствах новых игрушек (блоков), упражнять в группировке по цвету.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Оборудование.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Грузовая машина, два обруча, кукла, мишка, блоки двух цветов (желтого и красного).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Педагог привозит на машине новые игрушки (блоки). Дети рас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сматривают их, педагог вычленяет признаки — </w:t>
      </w: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красивые, разноцветные, жел</w:t>
      </w: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softHyphen/>
        <w:t>тые, красные.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Затем он поднимает вверх то желтый, то красный блок, предлагает детям найти и показать «такой же».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 xml:space="preserve">Игра «Подарки кукле и мишке».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В одном обруче сидит кукла, в другом — мишка. Педагог дарит кукле желтую игрушку, а мишке — красную, предлагает детям по аналогии разложить оставшиеся блоки на две группы.</w:t>
      </w:r>
    </w:p>
    <w:p w:rsidR="005F56EB" w:rsidRPr="00A717B2" w:rsidRDefault="005F56EB" w:rsidP="005D655F">
      <w:pPr>
        <w:pStyle w:val="60"/>
        <w:shd w:val="clear" w:color="auto" w:fill="auto"/>
        <w:spacing w:after="200"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6Arial"/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Активизировать речь детей: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этот красный, найди такой же, у куклы все желтые</w:t>
      </w:r>
      <w:r w:rsidRPr="00A717B2">
        <w:rPr>
          <w:rStyle w:val="6Arial"/>
          <w:rFonts w:ascii="Times New Roman" w:eastAsia="Calibri" w:hAnsi="Times New Roman" w:cs="Times New Roman"/>
          <w:sz w:val="28"/>
          <w:szCs w:val="28"/>
          <w:lang w:eastAsia="en-US"/>
        </w:rPr>
        <w:t xml:space="preserve"> и т. д.</w:t>
      </w:r>
    </w:p>
    <w:p w:rsidR="005F56EB" w:rsidRPr="00A717B2" w:rsidRDefault="005F56EB" w:rsidP="005D655F">
      <w:pPr>
        <w:pStyle w:val="130"/>
        <w:shd w:val="clear" w:color="auto" w:fill="auto"/>
        <w:spacing w:before="0" w:after="66" w:line="276" w:lineRule="auto"/>
        <w:ind w:left="4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ЗАНЯТИЕ 2. Группировка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по цвету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Цель.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зрительное восприятие предметов, резко отли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softHyphen/>
        <w:t>чающихся по цвету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приемы тождества и различия цвета. Учить пони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мать слова </w:t>
      </w: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цвет, такой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ж такой.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Оборудование.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>«Чудесный мешо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чек», блоки двух цветов (желтого и синего).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Педагог предлагает детям поиграть с «чудесным мешочком». В нем разноцветные игрушки. Педагог достает один блок: «Это желтый, положим его сюда, а это синий, положим его вот сюда», — кладет на другой стол.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Затем дети поочередно вынимают блоки и, ориентируясь на образец, раскладывают их на разные столы. «Правильно, это такой же, синий, это не такой, это разные по цвету», — оречевляет действия детей.</w:t>
      </w:r>
    </w:p>
    <w:p w:rsidR="005F56EB" w:rsidRPr="00A717B2" w:rsidRDefault="005F56EB" w:rsidP="005D655F">
      <w:pPr>
        <w:pStyle w:val="2"/>
        <w:shd w:val="clear" w:color="auto" w:fill="auto"/>
        <w:spacing w:after="200"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Подвижная игра «Найди такой же».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Педагог складывает синие и желтые блоки в коробку, оставив себе, как образцы, один синий и один желтый блок. Коробку с блоками уносит на противоположную сторону группы. Вернувшись к детям, вызывает их по очереди и, показав «образец», просит бегом добежать до коробки и принести </w:t>
      </w: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такой же.</w:t>
      </w:r>
    </w:p>
    <w:p w:rsidR="005F56EB" w:rsidRPr="00A717B2" w:rsidRDefault="005F56EB" w:rsidP="005D655F">
      <w:pPr>
        <w:pStyle w:val="130"/>
        <w:shd w:val="clear" w:color="auto" w:fill="auto"/>
        <w:spacing w:before="0" w:after="66" w:line="276" w:lineRule="auto"/>
        <w:ind w:left="4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ЗАНЯТИЕ 3. Соотнесение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по цвету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Цель.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Накапливать у детей цветовые впечатления, закреплять элементарные действия с блоками, учить ориентироваться на заданный цвет.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Оборудование.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3 цветные «полянки» (синяя, желтая, красная) — в виде плоскостных бесформенных пятен, блоки.</w:t>
      </w:r>
    </w:p>
    <w:p w:rsidR="005F56EB" w:rsidRPr="00A717B2" w:rsidRDefault="005F56EB" w:rsidP="005D655F">
      <w:pPr>
        <w:pStyle w:val="2"/>
        <w:shd w:val="clear" w:color="auto" w:fill="auto"/>
        <w:spacing w:after="200"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Игра «На свое поле».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Педагог приносит в коробке блоки трех цветов. Дети сидят на стульчиках полукругом. Перед ними раскладываются три «полянки». Педагог берет из коробки синий, красный, желтый блоки и раскладывает их на соответствующую полянку, оречевляя свои действия. Затем предлагает детям выполнить те же действия.</w:t>
      </w:r>
    </w:p>
    <w:p w:rsidR="005F56EB" w:rsidRPr="00A717B2" w:rsidRDefault="005F56EB" w:rsidP="005D655F">
      <w:pPr>
        <w:pStyle w:val="130"/>
        <w:shd w:val="clear" w:color="auto" w:fill="auto"/>
        <w:spacing w:before="0" w:after="28" w:line="276" w:lineRule="auto"/>
        <w:ind w:left="4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ЗАНЯТИЯ 4, 5, 6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Цель.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Упражнять детей в дифферен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цировке по цвету, развивать зрительное вним</w:t>
      </w:r>
      <w:r>
        <w:rPr>
          <w:rFonts w:ascii="Times New Roman" w:hAnsi="Times New Roman" w:cs="Times New Roman"/>
          <w:color w:val="000000"/>
          <w:sz w:val="28"/>
          <w:szCs w:val="28"/>
        </w:rPr>
        <w:t>ание, зрительную память, активиз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ировать речь детей: </w:t>
      </w: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такой, не такой, одинаковые, разные по цвету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и т. д.</w:t>
      </w:r>
    </w:p>
    <w:p w:rsidR="005F56EB" w:rsidRPr="00A717B2" w:rsidRDefault="005F56EB" w:rsidP="005D655F">
      <w:pPr>
        <w:pStyle w:val="60"/>
        <w:shd w:val="clear" w:color="auto" w:fill="auto"/>
        <w:spacing w:line="276" w:lineRule="auto"/>
        <w:ind w:lef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Упражнения</w:t>
      </w:r>
    </w:p>
    <w:p w:rsidR="005F56EB" w:rsidRPr="00A717B2" w:rsidRDefault="005F56EB" w:rsidP="005D655F">
      <w:pPr>
        <w:pStyle w:val="2"/>
        <w:numPr>
          <w:ilvl w:val="0"/>
          <w:numId w:val="1"/>
        </w:numPr>
        <w:shd w:val="clear" w:color="auto" w:fill="auto"/>
        <w:tabs>
          <w:tab w:val="left" w:pos="588"/>
        </w:tabs>
        <w:spacing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В желтый обруч сложить все желтые блоки, в синий — все синие.</w:t>
      </w:r>
    </w:p>
    <w:p w:rsidR="005F56EB" w:rsidRPr="00A717B2" w:rsidRDefault="005F56EB" w:rsidP="005D655F">
      <w:pPr>
        <w:pStyle w:val="2"/>
        <w:numPr>
          <w:ilvl w:val="0"/>
          <w:numId w:val="1"/>
        </w:numPr>
        <w:shd w:val="clear" w:color="auto" w:fill="auto"/>
        <w:tabs>
          <w:tab w:val="left" w:pos="588"/>
        </w:tabs>
        <w:spacing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Все блоки разбросаны по группе. Предложить Тане собрать в красное ведерко все красные блоки, а Саше — в синее ведерко все синие.</w:t>
      </w:r>
    </w:p>
    <w:p w:rsidR="005F56EB" w:rsidRPr="00A717B2" w:rsidRDefault="005F56EB" w:rsidP="005D655F">
      <w:pPr>
        <w:pStyle w:val="2"/>
        <w:numPr>
          <w:ilvl w:val="0"/>
          <w:numId w:val="1"/>
        </w:numPr>
        <w:shd w:val="clear" w:color="auto" w:fill="auto"/>
        <w:tabs>
          <w:tab w:val="left" w:pos="588"/>
        </w:tabs>
        <w:spacing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Поиск блоков, разложенных в разных местах группы.</w:t>
      </w:r>
    </w:p>
    <w:p w:rsidR="005F56EB" w:rsidRPr="00A717B2" w:rsidRDefault="005F56EB" w:rsidP="005D655F">
      <w:pPr>
        <w:pStyle w:val="2"/>
        <w:numPr>
          <w:ilvl w:val="0"/>
          <w:numId w:val="1"/>
        </w:numPr>
        <w:shd w:val="clear" w:color="auto" w:fill="auto"/>
        <w:tabs>
          <w:tab w:val="left" w:pos="588"/>
        </w:tabs>
        <w:spacing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Вместе с детьми построить из блоков разные предметы (домик, машину, башенку, грибок, поезд, клоуна, Чебурашку); акцентировать внимание детей на цвет: </w:t>
      </w: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машина синяя, а домик красный, этот вагончик желтый, а этот синий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и т. д.</w:t>
      </w:r>
    </w:p>
    <w:p w:rsidR="005F56EB" w:rsidRPr="00A717B2" w:rsidRDefault="005F56EB" w:rsidP="005D655F">
      <w:pPr>
        <w:pStyle w:val="130"/>
        <w:shd w:val="clear" w:color="auto" w:fill="auto"/>
        <w:spacing w:before="0" w:after="20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ЗАНЯТИЕ 7. Называние цвета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Цель.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Упражнять детей в назывании цвета. Развивать зрительное внимание, зрительную память.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Оборудование.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«Чудесный мешочек», набор блоков, 3 ведерка (красное, синее, желтое).</w:t>
      </w:r>
    </w:p>
    <w:p w:rsidR="005F56EB" w:rsidRPr="00A717B2" w:rsidRDefault="005F56EB" w:rsidP="005D655F">
      <w:pPr>
        <w:pStyle w:val="2"/>
        <w:shd w:val="clear" w:color="auto" w:fill="auto"/>
        <w:spacing w:after="200"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Педагог вынимает из «чудесного мешочка» блок и спрашивает: «Какой?» Дети отвечают: «Синий». — «Правильно, синий», — и кладет блок в синее ведерко. «А это какой?» — «Красный». — «Положим его в красное ведерко». Несколько раз педагог демонстративно кладет форму не в то ведерко, пытаясь обратить на это внимание детей. «Правильно я положила?» Дети должны найти ошибку и исправить ее. Далее педагог перемешивает все блоки, а дети самостоятельно раскладывают их в соответствующие ведерки, называя цвет.</w:t>
      </w:r>
    </w:p>
    <w:p w:rsidR="005F56EB" w:rsidRPr="00A717B2" w:rsidRDefault="005F56EB" w:rsidP="005D655F">
      <w:pPr>
        <w:pStyle w:val="130"/>
        <w:shd w:val="clear" w:color="auto" w:fill="auto"/>
        <w:spacing w:before="0" w:after="66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ЗАНЯТИЕ 8. Соотнесение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по цвету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Цель.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Развивать соотносительные действия по цвету. Упражнять в запоминании названий цветов.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Оборудование.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4 карточки — символы каждого цвета (красного, синего, желтого, зеленого), плоскостные геометрические фигуры четырех цветов, </w:t>
      </w:r>
      <w:r>
        <w:rPr>
          <w:rFonts w:ascii="Times New Roman" w:hAnsi="Times New Roman" w:cs="Times New Roman"/>
          <w:color w:val="000000"/>
          <w:sz w:val="28"/>
          <w:szCs w:val="28"/>
        </w:rPr>
        <w:t>коврограф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коврог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рафе прикреплены карточки — символы цвета (красного, синего, желтого, зеленого). Плоскостные разноцветные геометрические фигуры разложены на полу. Педагог; обращая внимание детей на карточки-символы, предлагает им «навести порядок» — разложить все геометрические фигуры к своему цвету.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Дети «гуляют» среди фигур, затем берут по одной и кладут на </w:t>
      </w:r>
      <w:r>
        <w:rPr>
          <w:rFonts w:ascii="Times New Roman" w:hAnsi="Times New Roman" w:cs="Times New Roman"/>
          <w:color w:val="000000"/>
          <w:sz w:val="28"/>
          <w:szCs w:val="28"/>
        </w:rPr>
        <w:t>ковро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граф на соответствующее место. Игра продолжается, пока все фигуры не окажутся на своем месте. Педагог уточняет: «Какого цвета фигуры расположены здесь? Покажите, где синие, где желтые. А это зеленые фигуры». Обращает внимание детей на карточку-символ зеленого цвета и предлагает детям найти в группе предметы такого же цвета. Если дети затрудняются, можно взять «образец» с собой и сравнить цвет предмета при непосредственном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сближении с образцом: «Да, это зеленый кубик, это зеленая елка, это зеленая лента» и т. д.</w:t>
      </w:r>
    </w:p>
    <w:p w:rsidR="005F56EB" w:rsidRPr="00A717B2" w:rsidRDefault="005F56EB" w:rsidP="005D655F">
      <w:pPr>
        <w:pStyle w:val="130"/>
        <w:shd w:val="clear" w:color="auto" w:fill="auto"/>
        <w:spacing w:before="0" w:after="24" w:line="276" w:lineRule="auto"/>
        <w:ind w:left="4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ЗАНЯТИЕ 9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Цель.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Развивать локализацию, фикс</w:t>
      </w:r>
      <w:r>
        <w:rPr>
          <w:rFonts w:ascii="Times New Roman" w:hAnsi="Times New Roman" w:cs="Times New Roman"/>
          <w:color w:val="000000"/>
          <w:sz w:val="28"/>
          <w:szCs w:val="28"/>
        </w:rPr>
        <w:t>ацию взора, соотносительные дей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ствия, упражнять в запоминании названия цветов.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Оборудование.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Большой обруч, карточки — символы четырех цветов, набор плоских геометрических фигур, 4 маленьких обруча.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Игра «Найди такой же».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В большом обруче разложены геометрические фигуры четырех цветов. Педагог поочередно поднимает вверх то карточку-символ красного, то синего, то желтого, то зеленого цвета. Дети должны найти в обруче соответствующую фигуру и принести педагогу, назвав ее цвет.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Игра «Фигуру на свое место».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В одной стороне группы разложены фигуры четырех цветов, в другой — 4 обруча, в каждом — карточка-символ. Дети бегут к геометрическим фигурам, берут по одной и несут в обруч, ориентируясь на образец.</w:t>
      </w:r>
    </w:p>
    <w:p w:rsidR="005F56EB" w:rsidRPr="00A717B2" w:rsidRDefault="005F56EB" w:rsidP="005D655F">
      <w:pPr>
        <w:pStyle w:val="140"/>
        <w:shd w:val="clear" w:color="auto" w:fill="auto"/>
        <w:spacing w:line="276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Варианты:</w:t>
      </w:r>
    </w:p>
    <w:p w:rsidR="005F56EB" w:rsidRPr="00A717B2" w:rsidRDefault="005F56EB" w:rsidP="005D655F">
      <w:pPr>
        <w:pStyle w:val="2"/>
        <w:shd w:val="clear" w:color="auto" w:fill="auto"/>
        <w:tabs>
          <w:tab w:val="left" w:pos="568"/>
        </w:tabs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ab/>
        <w:t>разбросаны фигуры четырех цветов, а обручей — 2 или 3;</w:t>
      </w:r>
    </w:p>
    <w:p w:rsidR="005F56EB" w:rsidRPr="00A717B2" w:rsidRDefault="005F56EB" w:rsidP="005D655F">
      <w:pPr>
        <w:pStyle w:val="2"/>
        <w:shd w:val="clear" w:color="auto" w:fill="auto"/>
        <w:tabs>
          <w:tab w:val="left" w:pos="568"/>
        </w:tabs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ab/>
        <w:t>разбросаны фигуры двух цветов, а обручей — 3 или 4.</w:t>
      </w:r>
    </w:p>
    <w:p w:rsidR="005F56EB" w:rsidRPr="00A717B2" w:rsidRDefault="005F56EB" w:rsidP="005D655F">
      <w:pPr>
        <w:pStyle w:val="2"/>
        <w:shd w:val="clear" w:color="auto" w:fill="auto"/>
        <w:spacing w:after="120"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Акцентировать внимание детей на это несоответствие.</w:t>
      </w:r>
    </w:p>
    <w:p w:rsidR="005F56EB" w:rsidRPr="00A717B2" w:rsidRDefault="005F56EB" w:rsidP="005D655F">
      <w:pPr>
        <w:pStyle w:val="130"/>
        <w:shd w:val="clear" w:color="auto" w:fill="auto"/>
        <w:spacing w:before="0" w:line="276" w:lineRule="auto"/>
        <w:ind w:left="360" w:right="2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ЗАНЯТИЕ 10. Дифференцирование блоков по форме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Цель.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Упражнять в различении блоков </w:t>
      </w:r>
      <w:r>
        <w:rPr>
          <w:rFonts w:ascii="Times New Roman" w:hAnsi="Times New Roman" w:cs="Times New Roman"/>
          <w:color w:val="000000"/>
          <w:sz w:val="28"/>
          <w:szCs w:val="28"/>
        </w:rPr>
        <w:t>круглой и квадратной формы. Раз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вивать навык группировки по образцу.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Оборудование.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Набор блоков круглой и квадратной формы трех цветов, две грузовые машинки, мишка, заяц, «чудесный мешочек».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Педагог раскладывает на столе красные блоки — круглые, квадратные. Предлагает поиграть с ними, обвести пальчиком формы — это круглые, они катаются, а квадратные не катаются — мешают уголки. Дети катают круглые блоки друг другу.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 xml:space="preserve">Игра «Подарки зайке и мишке».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В «чудесном мешочке» сложены синие блоки — круглые и квадратные. Педагог предлагает подарить зайке круглые, а мишке — квадратные игрушки. Дети поочередно подходят, вынимают из мешочка блок, узнают его форму и дарят. Педагог спрашивает: «Какие блоки у зайки? А у мишки?»</w:t>
      </w:r>
    </w:p>
    <w:p w:rsidR="005F56EB" w:rsidRPr="00A717B2" w:rsidRDefault="005F56EB" w:rsidP="005D655F">
      <w:pPr>
        <w:pStyle w:val="2"/>
        <w:shd w:val="clear" w:color="auto" w:fill="auto"/>
        <w:spacing w:after="200"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BookAntiqua"/>
          <w:rFonts w:ascii="Times New Roman" w:eastAsia="Calibri" w:hAnsi="Times New Roman" w:cs="Times New Roman"/>
          <w:sz w:val="28"/>
          <w:szCs w:val="28"/>
          <w:lang w:eastAsia="en-US"/>
        </w:rPr>
        <w:t>Игра «Найди круглые и квадратные блоки».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 xml:space="preserve"> На видных местах в группе предварительно разложены желтые блоки — круглые и квадратные. Педагог предлагает детям поискать круглые и квадратные игрушки и сложить их в машины: в эту — все круглые, а в эту — все </w:t>
      </w:r>
      <w:r>
        <w:rPr>
          <w:rFonts w:ascii="Times New Roman" w:hAnsi="Times New Roman" w:cs="Times New Roman"/>
          <w:color w:val="000000"/>
          <w:sz w:val="28"/>
          <w:szCs w:val="28"/>
        </w:rPr>
        <w:t>квадратные. Действия детей оре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чевляются.</w:t>
      </w:r>
    </w:p>
    <w:p w:rsidR="005F56EB" w:rsidRPr="00A717B2" w:rsidRDefault="005F56EB" w:rsidP="005D655F">
      <w:pPr>
        <w:pStyle w:val="130"/>
        <w:shd w:val="clear" w:color="auto" w:fill="auto"/>
        <w:spacing w:before="0" w:after="24" w:line="276" w:lineRule="auto"/>
        <w:ind w:left="4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ЗАНЯТИЕ 11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Цель.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Упражнять детей в выборе объектов по их форме, отвлекаясь от признаков цвета.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Оборудование.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Набор блоков трех форм (круглые, квадратные, треугольные) трех цветов, 3 куклы,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карточки — символы форм.</w:t>
      </w:r>
    </w:p>
    <w:p w:rsidR="005F56EB" w:rsidRPr="00A717B2" w:rsidRDefault="005F56EB" w:rsidP="005D655F">
      <w:pPr>
        <w:pStyle w:val="2"/>
        <w:shd w:val="clear" w:color="auto" w:fill="auto"/>
        <w:spacing w:after="200"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Дети сидят на стульчиках полукругом. Перед ними на полу разложены все блоки. Чуть дальше педагог рассаживает трех кукол — Машу, Дашу и Наташу. Около каждой на подставке ставится карточка — символ круга, квадрата, треугольника. Педагог объясняет детям, что Маше соберем все круги, Даше — все квадраты, а Наташе — все треугольники, и демонстрирует это детям: Маше — красный круп Даше — синий квадрат Наташе — синий треугольник. Далее формы собирают дети, по возможности оречевляя свои действия.</w:t>
      </w:r>
    </w:p>
    <w:p w:rsidR="005F56EB" w:rsidRPr="00A717B2" w:rsidRDefault="005F56EB" w:rsidP="005D655F">
      <w:pPr>
        <w:pStyle w:val="130"/>
        <w:shd w:val="clear" w:color="auto" w:fill="auto"/>
        <w:spacing w:before="0" w:after="24" w:line="276" w:lineRule="auto"/>
        <w:ind w:left="4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A717B2">
        <w:rPr>
          <w:rFonts w:ascii="Times New Roman" w:hAnsi="Times New Roman" w:cs="Times New Roman"/>
          <w:color w:val="000000"/>
          <w:sz w:val="28"/>
          <w:szCs w:val="28"/>
        </w:rPr>
        <w:t>ЗАНЯТИЕ 12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Цель.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Обучать детей подбирать объекты по двум заданным сенсорным свойствам — форме и цвету.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Оборудование.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3 карточки — символа цвета, 4 карточки — символа формы, кукла Незнайка, набор блоков в грузовой машине.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40" w:righ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17B2">
        <w:rPr>
          <w:rStyle w:val="a0"/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Описание. </w:t>
      </w:r>
      <w:r w:rsidRPr="00A717B2">
        <w:rPr>
          <w:rFonts w:ascii="Times New Roman" w:hAnsi="Times New Roman" w:cs="Times New Roman"/>
          <w:color w:val="000000"/>
          <w:sz w:val="28"/>
          <w:szCs w:val="28"/>
        </w:rPr>
        <w:t>Педагог предлагает детям помочь Незнайке навести порядок — правильно разложить все блоки. Он выкладывает на столе в ряд 4 карточки — символа формы и предлагает детям брать из машины по одному блоку и раскладывать их под соответствующим символом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56EB" w:rsidRPr="00A717B2" w:rsidRDefault="005F56EB" w:rsidP="005D655F">
      <w:pPr>
        <w:pStyle w:val="2"/>
        <w:shd w:val="clear" w:color="auto" w:fill="auto"/>
        <w:spacing w:line="276" w:lineRule="auto"/>
        <w:ind w:left="20" w:right="20"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5F56EB" w:rsidRDefault="005F56EB"/>
    <w:sectPr w:rsidR="005F56EB" w:rsidSect="00D8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548B9"/>
    <w:multiLevelType w:val="hybridMultilevel"/>
    <w:tmpl w:val="362A3DBE"/>
    <w:lvl w:ilvl="0" w:tplc="0419000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55F"/>
    <w:rsid w:val="005D655F"/>
    <w:rsid w:val="005F56EB"/>
    <w:rsid w:val="00A717B2"/>
    <w:rsid w:val="00B75AA2"/>
    <w:rsid w:val="00BB21B4"/>
    <w:rsid w:val="00C4609A"/>
    <w:rsid w:val="00D12737"/>
    <w:rsid w:val="00D5767F"/>
    <w:rsid w:val="00D8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uiPriority w:val="99"/>
    <w:locked/>
    <w:rsid w:val="005D655F"/>
    <w:rPr>
      <w:rFonts w:ascii="Arial" w:eastAsia="Times New Roman" w:hAnsi="Arial" w:cs="Arial"/>
      <w:spacing w:val="1"/>
      <w:sz w:val="15"/>
      <w:szCs w:val="15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5D655F"/>
    <w:pPr>
      <w:widowControl w:val="0"/>
      <w:shd w:val="clear" w:color="auto" w:fill="FFFFFF"/>
      <w:spacing w:after="0" w:line="240" w:lineRule="atLeast"/>
      <w:ind w:hanging="260"/>
    </w:pPr>
    <w:rPr>
      <w:rFonts w:ascii="Arial" w:hAnsi="Arial" w:cs="Arial"/>
      <w:spacing w:val="1"/>
      <w:sz w:val="15"/>
      <w:szCs w:val="15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5D655F"/>
    <w:rPr>
      <w:rFonts w:ascii="Book Antiqua" w:eastAsia="Times New Roman" w:hAnsi="Book Antiqua" w:cs="Book Antiqua"/>
      <w:i/>
      <w:iCs/>
      <w:spacing w:val="-3"/>
      <w:sz w:val="16"/>
      <w:szCs w:val="16"/>
      <w:shd w:val="clear" w:color="auto" w:fill="FFFFFF"/>
    </w:rPr>
  </w:style>
  <w:style w:type="character" w:customStyle="1" w:styleId="BookAntiqua">
    <w:name w:val="Основной текст + Book Antiqua"/>
    <w:aliases w:val="8 pt,Курсив,Интервал 0 pt"/>
    <w:basedOn w:val="a"/>
    <w:uiPriority w:val="99"/>
    <w:rsid w:val="005D655F"/>
    <w:rPr>
      <w:rFonts w:ascii="Book Antiqua" w:hAnsi="Book Antiqua" w:cs="Book Antiqua"/>
      <w:i/>
      <w:iCs/>
      <w:color w:val="000000"/>
      <w:spacing w:val="-3"/>
      <w:w w:val="100"/>
      <w:position w:val="0"/>
      <w:sz w:val="16"/>
      <w:szCs w:val="16"/>
      <w:u w:val="none"/>
      <w:lang w:val="ru-RU"/>
    </w:rPr>
  </w:style>
  <w:style w:type="character" w:customStyle="1" w:styleId="a0">
    <w:name w:val="Основной текст + Полужирный"/>
    <w:aliases w:val="Интервал 0 pt2"/>
    <w:basedOn w:val="a"/>
    <w:uiPriority w:val="99"/>
    <w:rsid w:val="005D655F"/>
    <w:rPr>
      <w:b/>
      <w:bCs/>
      <w:color w:val="000000"/>
      <w:spacing w:val="2"/>
      <w:w w:val="100"/>
      <w:position w:val="0"/>
      <w:u w:val="none"/>
      <w:lang w:val="ru-RU"/>
    </w:rPr>
  </w:style>
  <w:style w:type="character" w:customStyle="1" w:styleId="13">
    <w:name w:val="Основной текст (13)_"/>
    <w:basedOn w:val="DefaultParagraphFont"/>
    <w:link w:val="130"/>
    <w:uiPriority w:val="99"/>
    <w:locked/>
    <w:rsid w:val="005D655F"/>
    <w:rPr>
      <w:rFonts w:ascii="Arial" w:eastAsia="Times New Roman" w:hAnsi="Arial" w:cs="Arial"/>
      <w:b/>
      <w:bCs/>
      <w:spacing w:val="2"/>
      <w:sz w:val="15"/>
      <w:szCs w:val="15"/>
      <w:shd w:val="clear" w:color="auto" w:fill="FFFFFF"/>
    </w:rPr>
  </w:style>
  <w:style w:type="character" w:customStyle="1" w:styleId="6Arial">
    <w:name w:val="Основной текст (6) + Arial"/>
    <w:aliases w:val="7,5 pt,Не курсив,Интервал 0 pt1"/>
    <w:basedOn w:val="6"/>
    <w:uiPriority w:val="99"/>
    <w:rsid w:val="005D655F"/>
    <w:rPr>
      <w:rFonts w:ascii="Arial" w:hAnsi="Arial" w:cs="Arial"/>
      <w:color w:val="000000"/>
      <w:spacing w:val="1"/>
      <w:w w:val="100"/>
      <w:position w:val="0"/>
      <w:sz w:val="15"/>
      <w:szCs w:val="15"/>
      <w:lang w:val="ru-RU"/>
    </w:rPr>
  </w:style>
  <w:style w:type="paragraph" w:customStyle="1" w:styleId="60">
    <w:name w:val="Основной текст (6)"/>
    <w:basedOn w:val="Normal"/>
    <w:link w:val="6"/>
    <w:uiPriority w:val="99"/>
    <w:rsid w:val="005D655F"/>
    <w:pPr>
      <w:widowControl w:val="0"/>
      <w:shd w:val="clear" w:color="auto" w:fill="FFFFFF"/>
      <w:spacing w:after="0" w:line="77" w:lineRule="exact"/>
    </w:pPr>
    <w:rPr>
      <w:rFonts w:ascii="Book Antiqua" w:hAnsi="Book Antiqua" w:cs="Book Antiqua"/>
      <w:i/>
      <w:iCs/>
      <w:spacing w:val="-3"/>
      <w:sz w:val="16"/>
      <w:szCs w:val="16"/>
    </w:rPr>
  </w:style>
  <w:style w:type="paragraph" w:customStyle="1" w:styleId="130">
    <w:name w:val="Основной текст (13)"/>
    <w:basedOn w:val="Normal"/>
    <w:link w:val="13"/>
    <w:uiPriority w:val="99"/>
    <w:rsid w:val="005D655F"/>
    <w:pPr>
      <w:widowControl w:val="0"/>
      <w:shd w:val="clear" w:color="auto" w:fill="FFFFFF"/>
      <w:spacing w:before="120" w:after="0" w:line="250" w:lineRule="exact"/>
      <w:ind w:hanging="1180"/>
      <w:jc w:val="both"/>
    </w:pPr>
    <w:rPr>
      <w:rFonts w:ascii="Arial" w:hAnsi="Arial" w:cs="Arial"/>
      <w:b/>
      <w:bCs/>
      <w:spacing w:val="2"/>
      <w:sz w:val="15"/>
      <w:szCs w:val="15"/>
    </w:rPr>
  </w:style>
  <w:style w:type="character" w:customStyle="1" w:styleId="14">
    <w:name w:val="Основной текст (14)_"/>
    <w:basedOn w:val="DefaultParagraphFont"/>
    <w:link w:val="140"/>
    <w:uiPriority w:val="99"/>
    <w:locked/>
    <w:rsid w:val="005D655F"/>
    <w:rPr>
      <w:rFonts w:ascii="Arial" w:eastAsia="Times New Roman" w:hAnsi="Arial" w:cs="Arial"/>
      <w:i/>
      <w:iCs/>
      <w:spacing w:val="-5"/>
      <w:sz w:val="15"/>
      <w:szCs w:val="15"/>
      <w:shd w:val="clear" w:color="auto" w:fill="FFFFFF"/>
    </w:rPr>
  </w:style>
  <w:style w:type="paragraph" w:customStyle="1" w:styleId="140">
    <w:name w:val="Основной текст (14)"/>
    <w:basedOn w:val="Normal"/>
    <w:link w:val="14"/>
    <w:uiPriority w:val="99"/>
    <w:rsid w:val="005D655F"/>
    <w:pPr>
      <w:widowControl w:val="0"/>
      <w:shd w:val="clear" w:color="auto" w:fill="FFFFFF"/>
      <w:spacing w:after="0" w:line="250" w:lineRule="exact"/>
      <w:ind w:firstLine="300"/>
      <w:jc w:val="both"/>
    </w:pPr>
    <w:rPr>
      <w:rFonts w:ascii="Arial" w:hAnsi="Arial" w:cs="Arial"/>
      <w:i/>
      <w:iCs/>
      <w:spacing w:val="-5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1519</Words>
  <Characters>8663</Characters>
  <Application>Microsoft Office Outlook</Application>
  <DocSecurity>0</DocSecurity>
  <Lines>0</Lines>
  <Paragraphs>0</Paragraphs>
  <ScaleCrop>false</ScaleCrop>
  <Company>WareZ Provider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РАЗВИВАЮЩИЕ ИГРЫ С БЛОКАМИ ДЬЕНЕША ДЛЯ ДЕТЕЙ С ПАТОЛОГИЕЙ ЗРЕНИЯ</dc:title>
  <dc:subject/>
  <dc:creator>www.PHILka.RU</dc:creator>
  <cp:keywords/>
  <dc:description/>
  <cp:lastModifiedBy>edik</cp:lastModifiedBy>
  <cp:revision>2</cp:revision>
  <dcterms:created xsi:type="dcterms:W3CDTF">2014-03-23T18:21:00Z</dcterms:created>
  <dcterms:modified xsi:type="dcterms:W3CDTF">2014-03-23T18:21:00Z</dcterms:modified>
</cp:coreProperties>
</file>